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00" w:rsidRDefault="006E1300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color w:val="000000" w:themeColor="text1"/>
          <w:spacing w:val="10"/>
          <w:kern w:val="0"/>
          <w:sz w:val="44"/>
          <w:szCs w:val="44"/>
        </w:rPr>
      </w:pPr>
    </w:p>
    <w:p w:rsidR="006E1300" w:rsidRDefault="001D0EEA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color w:val="000000" w:themeColor="text1"/>
          <w:spacing w:val="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 w:themeColor="text1"/>
          <w:spacing w:val="10"/>
          <w:kern w:val="0"/>
          <w:sz w:val="44"/>
          <w:szCs w:val="44"/>
        </w:rPr>
        <w:t>济南市中级</w:t>
      </w:r>
      <w:r>
        <w:rPr>
          <w:rFonts w:ascii="方正小标宋简体" w:eastAsia="方正小标宋简体" w:hAnsi="方正小标宋简体" w:cs="宋体"/>
          <w:color w:val="000000" w:themeColor="text1"/>
          <w:spacing w:val="10"/>
          <w:kern w:val="0"/>
          <w:sz w:val="44"/>
          <w:szCs w:val="44"/>
        </w:rPr>
        <w:t>人民法院关于</w:t>
      </w:r>
      <w:r>
        <w:rPr>
          <w:rFonts w:ascii="方正小标宋简体" w:eastAsia="方正小标宋简体" w:hAnsi="方正小标宋简体" w:cs="宋体" w:hint="eastAsia"/>
          <w:color w:val="000000" w:themeColor="text1"/>
          <w:spacing w:val="10"/>
          <w:kern w:val="0"/>
          <w:sz w:val="44"/>
          <w:szCs w:val="44"/>
        </w:rPr>
        <w:t>加强公民个人信息保护</w:t>
      </w:r>
      <w:r>
        <w:rPr>
          <w:rFonts w:ascii="方正小标宋简体" w:eastAsia="方正小标宋简体" w:hAnsi="方正小标宋简体" w:cs="宋体"/>
          <w:color w:val="000000" w:themeColor="text1"/>
          <w:spacing w:val="10"/>
          <w:kern w:val="0"/>
          <w:sz w:val="44"/>
          <w:szCs w:val="44"/>
        </w:rPr>
        <w:t>的司法建议书</w:t>
      </w:r>
    </w:p>
    <w:p w:rsidR="006E1300" w:rsidRDefault="006E1300">
      <w:pPr>
        <w:widowControl/>
        <w:spacing w:line="560" w:lineRule="exact"/>
        <w:jc w:val="center"/>
        <w:rPr>
          <w:rFonts w:ascii="仿宋_GB2312" w:eastAsia="仿宋_GB2312" w:hAnsi="仿宋_GB2312" w:cs="宋体"/>
          <w:color w:val="000000" w:themeColor="text1"/>
          <w:spacing w:val="10"/>
          <w:kern w:val="0"/>
          <w:sz w:val="32"/>
          <w:szCs w:val="32"/>
        </w:rPr>
      </w:pPr>
    </w:p>
    <w:p w:rsidR="006E1300" w:rsidRDefault="001D0EEA">
      <w:pPr>
        <w:widowControl/>
        <w:spacing w:line="560" w:lineRule="exact"/>
        <w:jc w:val="center"/>
        <w:rPr>
          <w:rFonts w:ascii="楷体_GB2312" w:eastAsia="楷体_GB2312" w:hAnsi="楷体_GB2312" w:cs="宋体"/>
          <w:color w:val="000000" w:themeColor="text1"/>
          <w:spacing w:val="10"/>
          <w:kern w:val="0"/>
          <w:sz w:val="32"/>
          <w:szCs w:val="32"/>
        </w:rPr>
      </w:pPr>
      <w:r>
        <w:rPr>
          <w:rFonts w:ascii="楷体_GB2312" w:eastAsia="楷体_GB2312" w:hAnsi="楷体_GB2312" w:cs="宋体" w:hint="eastAsia"/>
          <w:color w:val="000000" w:themeColor="text1"/>
          <w:spacing w:val="10"/>
          <w:kern w:val="0"/>
          <w:sz w:val="32"/>
          <w:szCs w:val="32"/>
        </w:rPr>
        <w:t xml:space="preserve">                     </w:t>
      </w:r>
    </w:p>
    <w:p w:rsidR="006E1300" w:rsidRDefault="001D0EEA">
      <w:pPr>
        <w:widowControl/>
        <w:spacing w:line="600" w:lineRule="exact"/>
        <w:rPr>
          <w:rFonts w:ascii="仿宋_GB2312" w:eastAsia="仿宋_GB2312" w:hAnsi="仿宋_GB2312" w:cs="宋体"/>
          <w:color w:val="000000" w:themeColor="text1"/>
          <w:spacing w:val="10"/>
          <w:kern w:val="0"/>
          <w:sz w:val="32"/>
          <w:szCs w:val="32"/>
        </w:rPr>
      </w:pPr>
      <w:r>
        <w:rPr>
          <w:rFonts w:ascii="仿宋_GB2312" w:eastAsia="仿宋_GB2312" w:hAnsi="仿宋_GB2312" w:cs="宋体"/>
          <w:color w:val="000000" w:themeColor="text1"/>
          <w:spacing w:val="10"/>
          <w:kern w:val="0"/>
          <w:sz w:val="36"/>
          <w:szCs w:val="36"/>
        </w:rPr>
        <w:br/>
      </w:r>
      <w:r w:rsidR="00A7581A">
        <w:rPr>
          <w:rFonts w:ascii="仿宋_GB2312" w:eastAsia="仿宋_GB2312" w:hAnsi="仿宋_GB2312" w:cs="宋体" w:hint="eastAsia"/>
          <w:color w:val="000000"/>
          <w:spacing w:val="10"/>
          <w:kern w:val="0"/>
          <w:sz w:val="32"/>
          <w:szCs w:val="32"/>
        </w:rPr>
        <w:t>××××</w:t>
      </w:r>
      <w:bookmarkStart w:id="0" w:name="_GoBack"/>
      <w:bookmarkEnd w:id="0"/>
      <w:r>
        <w:rPr>
          <w:rFonts w:ascii="仿宋_GB2312" w:eastAsia="仿宋_GB2312" w:hAnsi="仿宋_GB2312" w:cs="宋体" w:hint="eastAsia"/>
          <w:color w:val="000000" w:themeColor="text1"/>
          <w:spacing w:val="10"/>
          <w:kern w:val="0"/>
          <w:sz w:val="32"/>
          <w:szCs w:val="32"/>
        </w:rPr>
        <w:t>有限公司</w:t>
      </w:r>
      <w:r>
        <w:rPr>
          <w:rFonts w:ascii="仿宋_GB2312" w:eastAsia="仿宋_GB2312" w:hAnsi="仿宋_GB2312" w:cs="宋体"/>
          <w:color w:val="000000" w:themeColor="text1"/>
          <w:spacing w:val="10"/>
          <w:kern w:val="0"/>
          <w:sz w:val="32"/>
          <w:szCs w:val="32"/>
        </w:rPr>
        <w:t>：</w:t>
      </w:r>
    </w:p>
    <w:p w:rsidR="006E1300" w:rsidRDefault="001D0EEA">
      <w:pPr>
        <w:widowControl/>
        <w:spacing w:line="60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我院近期在审理一起侵犯公民个人信息保护民事公益诉讼案件中，发现侵权人从你处窃取后台客户信息并非法售出，致使不特定多数人的个人信息事项泄露，导致下游网络诈骗违法犯罪等行为发生，造成较大的不利影响。侵犯公民个人信息的行为，会造成不特定社会公众的个人信息更广泛地泄露和传播，滋生电信网络诈骗、“套路贷”等下游犯罪，进而威胁公众人身、财产安全，侵害社会公共利益。你单位作为金融平台，更应当肩负起保护公民个人信息的职责。为进一步加强公民个人信息保护，营造风清气正的消费金融环境，特提出如下建议：</w:t>
      </w:r>
    </w:p>
    <w:p w:rsidR="006E1300" w:rsidRDefault="001D0EEA" w:rsidP="00AF3959">
      <w:pPr>
        <w:widowControl/>
        <w:spacing w:line="600" w:lineRule="exact"/>
        <w:ind w:firstLineChars="200" w:firstLine="678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color w:val="000000" w:themeColor="text1"/>
          <w:spacing w:val="9"/>
          <w:kern w:val="0"/>
          <w:sz w:val="32"/>
          <w:szCs w:val="32"/>
        </w:rPr>
        <w:t>一是加强网站安全管理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。提高数据管理后台密码密级，定期更换密码，在数据、处理、开发、使用和传输等方面进行全流程管控，利用隐私保护技术处理敏感数据，提升平台安全性，增强抵御外来入侵风险的能力。</w:t>
      </w:r>
    </w:p>
    <w:p w:rsidR="006E1300" w:rsidRDefault="001D0EEA" w:rsidP="00AF3959">
      <w:pPr>
        <w:widowControl/>
        <w:spacing w:line="600" w:lineRule="exact"/>
        <w:ind w:firstLineChars="200" w:firstLine="678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color w:val="000000" w:themeColor="text1"/>
          <w:spacing w:val="9"/>
          <w:kern w:val="0"/>
          <w:sz w:val="32"/>
          <w:szCs w:val="32"/>
        </w:rPr>
        <w:t>二是建立健全内部控制制度。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根据《个人信息保护法》《电子商务法》等相关法律法规修改和管理内部管理制度，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lastRenderedPageBreak/>
        <w:t>优化信息数据读取设置，避免平台违法收集用户信息，明确内部人员职责，切实防止信息泄露、滥用事件的发生。</w:t>
      </w:r>
    </w:p>
    <w:p w:rsidR="006E1300" w:rsidRDefault="001D0EEA" w:rsidP="00AF3959">
      <w:pPr>
        <w:widowControl/>
        <w:spacing w:line="600" w:lineRule="exact"/>
        <w:ind w:firstLineChars="200" w:firstLine="678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color w:val="000000" w:themeColor="text1"/>
          <w:spacing w:val="9"/>
          <w:kern w:val="0"/>
          <w:sz w:val="32"/>
          <w:szCs w:val="32"/>
        </w:rPr>
        <w:t>三是加强员工教育培训。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组织开展保密教育，提升员工特别是涉密人员的保密意识和消费者权益保护意识，定期组织培训或保密检查，杜绝违法违规行为发生。</w:t>
      </w:r>
    </w:p>
    <w:p w:rsidR="006E1300" w:rsidRDefault="001D0EEA" w:rsidP="00AF3959">
      <w:pPr>
        <w:widowControl/>
        <w:spacing w:line="600" w:lineRule="exact"/>
        <w:ind w:firstLineChars="200" w:firstLine="678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color w:val="000000" w:themeColor="text1"/>
          <w:spacing w:val="9"/>
          <w:kern w:val="0"/>
          <w:sz w:val="32"/>
          <w:szCs w:val="32"/>
        </w:rPr>
        <w:t>四是注重平台宣传推广的规范性。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依法经营消费金融平台，制定消费金融产品服务协议，注重依法保障个人的知情权和隐私权，避免违规开展金融营销宣传。</w:t>
      </w:r>
    </w:p>
    <w:p w:rsidR="006E1300" w:rsidRDefault="001D0EEA">
      <w:pPr>
        <w:widowControl/>
        <w:spacing w:line="60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请你单位在收到本建议书后及时研究，采取有力措施推进问题治理，并在1个月内向我院书面反馈工作进展情况。</w:t>
      </w:r>
    </w:p>
    <w:p w:rsidR="006E1300" w:rsidRDefault="006E1300">
      <w:pPr>
        <w:widowControl/>
        <w:spacing w:line="560" w:lineRule="exact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6E1300">
      <w:pPr>
        <w:widowControl/>
        <w:spacing w:line="56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6E1300">
      <w:pPr>
        <w:widowControl/>
        <w:spacing w:line="56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1D0EEA">
      <w:pPr>
        <w:widowControl/>
        <w:spacing w:line="560" w:lineRule="exact"/>
        <w:ind w:firstLineChars="200" w:firstLine="676"/>
        <w:jc w:val="right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济南市中级</w:t>
      </w:r>
      <w:r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  <w:t>人民法院</w:t>
      </w:r>
    </w:p>
    <w:p w:rsidR="006E1300" w:rsidRDefault="001D0EEA">
      <w:pPr>
        <w:widowControl/>
        <w:spacing w:line="560" w:lineRule="exact"/>
        <w:ind w:right="169" w:firstLineChars="200" w:firstLine="676"/>
        <w:jc w:val="right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2024</w:t>
      </w:r>
      <w:r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  <w:t>年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8</w:t>
      </w:r>
      <w:r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  <w:t>月</w:t>
      </w:r>
      <w:r>
        <w:rPr>
          <w:rFonts w:ascii="仿宋_GB2312" w:eastAsia="仿宋_GB2312" w:hAnsi="仿宋_GB2312" w:cs="宋体" w:hint="eastAsia"/>
          <w:color w:val="000000" w:themeColor="text1"/>
          <w:spacing w:val="9"/>
          <w:kern w:val="0"/>
          <w:sz w:val="32"/>
          <w:szCs w:val="32"/>
        </w:rPr>
        <w:t>27</w:t>
      </w:r>
      <w:r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  <w:t>日</w:t>
      </w:r>
    </w:p>
    <w:p w:rsidR="006E1300" w:rsidRDefault="006E1300">
      <w:pPr>
        <w:widowControl/>
        <w:spacing w:line="56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6E1300">
      <w:pPr>
        <w:widowControl/>
        <w:spacing w:line="56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6E1300">
      <w:pPr>
        <w:widowControl/>
        <w:spacing w:line="560" w:lineRule="exact"/>
        <w:ind w:firstLineChars="200" w:firstLine="676"/>
        <w:rPr>
          <w:rFonts w:ascii="仿宋_GB2312" w:eastAsia="仿宋_GB2312" w:hAnsi="仿宋_GB2312" w:cs="宋体"/>
          <w:color w:val="000000" w:themeColor="text1"/>
          <w:spacing w:val="9"/>
          <w:kern w:val="0"/>
          <w:sz w:val="32"/>
          <w:szCs w:val="32"/>
        </w:rPr>
      </w:pPr>
    </w:p>
    <w:p w:rsidR="006E1300" w:rsidRDefault="006E1300"/>
    <w:sectPr w:rsidR="006E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F2" w:rsidRDefault="00F003F2" w:rsidP="00AF3959">
      <w:r>
        <w:separator/>
      </w:r>
    </w:p>
  </w:endnote>
  <w:endnote w:type="continuationSeparator" w:id="0">
    <w:p w:rsidR="00F003F2" w:rsidRDefault="00F003F2" w:rsidP="00A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F2" w:rsidRDefault="00F003F2" w:rsidP="00AF3959">
      <w:r>
        <w:separator/>
      </w:r>
    </w:p>
  </w:footnote>
  <w:footnote w:type="continuationSeparator" w:id="0">
    <w:p w:rsidR="00F003F2" w:rsidRDefault="00F003F2" w:rsidP="00A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562BE"/>
    <w:rsid w:val="60B562BE"/>
    <w:rsid w:val="B7C2F0E2"/>
    <w:rsid w:val="E7DF4980"/>
    <w:rsid w:val="001D0EEA"/>
    <w:rsid w:val="006E1300"/>
    <w:rsid w:val="00A7581A"/>
    <w:rsid w:val="00AF3959"/>
    <w:rsid w:val="00C571BB"/>
    <w:rsid w:val="00DD54B4"/>
    <w:rsid w:val="00F003F2"/>
    <w:rsid w:val="00F039E0"/>
    <w:rsid w:val="00FF69A8"/>
    <w:rsid w:val="0A634917"/>
    <w:rsid w:val="13381014"/>
    <w:rsid w:val="37100106"/>
    <w:rsid w:val="3CE79E6D"/>
    <w:rsid w:val="55B77621"/>
    <w:rsid w:val="5BFF04BE"/>
    <w:rsid w:val="5FEFDEC1"/>
    <w:rsid w:val="60B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研究室邵</dc:creator>
  <cp:lastModifiedBy>白亮</cp:lastModifiedBy>
  <cp:revision>5</cp:revision>
  <cp:lastPrinted>2024-09-02T00:58:00Z</cp:lastPrinted>
  <dcterms:created xsi:type="dcterms:W3CDTF">2024-03-04T16:52:00Z</dcterms:created>
  <dcterms:modified xsi:type="dcterms:W3CDTF">2024-09-02T06:42:00Z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  <property fmtid="{D5CDD505-2E9C-101B-9397-08002B2CF9AE}" pid="3" name="ICV">
    <vt:lpwstr>7B66D2D59DEB4C10AC1147F9AD3EAB79_13</vt:lpwstr>
  </property>
</Properties>
</file>